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8" w:rsidRDefault="006E5938">
      <w:pPr>
        <w:tabs>
          <w:tab w:val="left" w:pos="8789"/>
          <w:tab w:val="left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938" w:rsidRDefault="00A27960">
      <w:pPr>
        <w:tabs>
          <w:tab w:val="left" w:pos="8789"/>
          <w:tab w:val="left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Perín – Chym  v súlade   § 6 ods. 1 zákona č. 369/1990 Zb. o obecnom zriadení v znení neskorších zmien a  doplnkov  vydáva  </w:t>
      </w:r>
    </w:p>
    <w:p w:rsidR="006E5938" w:rsidRDefault="006E5938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tabs>
          <w:tab w:val="left" w:pos="8789"/>
          <w:tab w:val="left" w:pos="9639"/>
        </w:tabs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 Návrh „</w:t>
      </w:r>
    </w:p>
    <w:p w:rsidR="006E5938" w:rsidRDefault="00A27960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VŠEOBECNÉ  ZÁVÄZNÉ NARIADENIE  OBCE </w:t>
      </w:r>
    </w:p>
    <w:p w:rsidR="006E5938" w:rsidRDefault="00A27960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Perín – Chym 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/ 2021 </w:t>
      </w:r>
    </w:p>
    <w:p w:rsidR="006E5938" w:rsidRDefault="006E5938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pravidlách času predaja v obchode a v prevádzkarňach poskytujúcich služby na území obce / </w:t>
      </w:r>
      <w:r>
        <w:rPr>
          <w:rFonts w:ascii="Times New Roman" w:hAnsi="Times New Roman" w:cs="Times New Roman"/>
          <w:bCs/>
          <w:sz w:val="24"/>
          <w:szCs w:val="24"/>
        </w:rPr>
        <w:t>ďalej len</w:t>
      </w:r>
      <w:r>
        <w:rPr>
          <w:rFonts w:ascii="Times New Roman" w:hAnsi="Times New Roman" w:cs="Times New Roman"/>
          <w:b/>
          <w:sz w:val="24"/>
          <w:szCs w:val="24"/>
        </w:rPr>
        <w:t xml:space="preserve"> „Nariadenie“ /</w:t>
      </w:r>
    </w:p>
    <w:p w:rsidR="006E5938" w:rsidRDefault="006E5938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tabs>
          <w:tab w:val="left" w:pos="8789"/>
          <w:tab w:val="left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Perín- Chym v zmysle  §4 ods. 3 písm.  i), § 4 ods. 5 písm. a) bod 3,  §11 ods. 4 písm. g)  zákona č. 369/1990 Zb</w:t>
      </w:r>
      <w:r>
        <w:rPr>
          <w:rFonts w:ascii="Times New Roman" w:hAnsi="Times New Roman" w:cs="Times New Roman"/>
          <w:sz w:val="24"/>
          <w:szCs w:val="24"/>
        </w:rPr>
        <w:t>. o obecnom zriadení v znení neskorších zmien a  doplnkov sa uznieslo na tomto Nariadení.</w:t>
      </w:r>
    </w:p>
    <w:p w:rsidR="006E5938" w:rsidRDefault="00A279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E5938" w:rsidRDefault="00A27960">
      <w:pPr>
        <w:pStyle w:val="Nadpis2"/>
        <w:numPr>
          <w:ilvl w:val="1"/>
          <w:numId w:val="2"/>
        </w:numPr>
        <w:rPr>
          <w:szCs w:val="24"/>
        </w:rPr>
      </w:pPr>
      <w:r>
        <w:rPr>
          <w:szCs w:val="24"/>
        </w:rPr>
        <w:t>Úvodné ustanovenie</w:t>
      </w:r>
    </w:p>
    <w:p w:rsidR="006E5938" w:rsidRDefault="006E5938">
      <w:pPr>
        <w:pStyle w:val="Odsekzoznamu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Nariadenie upravuje pravidlá času predaja v obchode a času prevádzky služieb pre fyzické osoby – podnikateľov a právnické osoby, ktoré </w:t>
      </w:r>
      <w:r>
        <w:rPr>
          <w:rFonts w:ascii="Times New Roman" w:hAnsi="Times New Roman" w:cs="Times New Roman"/>
          <w:sz w:val="24"/>
          <w:szCs w:val="24"/>
        </w:rPr>
        <w:t>na území Obce Perín-Chym ( ďalej aj ako „</w:t>
      </w:r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>“ ) prevádzkujú prevádzkarne obchodu alebo služieb.</w:t>
      </w:r>
    </w:p>
    <w:p w:rsidR="006E5938" w:rsidRDefault="006E59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Nariadenie sa nevzťahuje na: </w:t>
      </w:r>
    </w:p>
    <w:p w:rsidR="006E5938" w:rsidRDefault="00A2796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 tovaru a poskytovanie služieb na trhových miestach podľa zákona č. 175/1998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podmienkach predaja výrobkov a poskytovania služieb na trhových miestach, </w:t>
      </w:r>
    </w:p>
    <w:p w:rsidR="006E5938" w:rsidRDefault="00A2796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prevádzkovej doby pre verejné kultúrne podujatia usporiadané právnickými a fyzickým</w:t>
      </w:r>
      <w:r>
        <w:rPr>
          <w:rFonts w:ascii="Times New Roman" w:hAnsi="Times New Roman" w:cs="Times New Roman"/>
          <w:sz w:val="24"/>
          <w:szCs w:val="24"/>
        </w:rPr>
        <w:t xml:space="preserve">i osobami podľa zákona č. 96/1991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Z..z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verejných kultúrnych podujatiach. </w:t>
      </w:r>
    </w:p>
    <w:p w:rsidR="006E5938" w:rsidRDefault="006E5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E5938" w:rsidRDefault="00A27960">
      <w:pPr>
        <w:pStyle w:val="Nadpis2"/>
        <w:numPr>
          <w:ilvl w:val="1"/>
          <w:numId w:val="2"/>
        </w:numPr>
        <w:tabs>
          <w:tab w:val="clear" w:pos="347"/>
          <w:tab w:val="left" w:pos="0"/>
        </w:tabs>
        <w:ind w:left="0" w:firstLine="0"/>
        <w:rPr>
          <w:szCs w:val="24"/>
        </w:rPr>
      </w:pPr>
      <w:r>
        <w:rPr>
          <w:szCs w:val="24"/>
        </w:rPr>
        <w:t>Základné pojmy</w:t>
      </w:r>
    </w:p>
    <w:p w:rsidR="006E5938" w:rsidRDefault="00A27960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účely tohto Nariadenia sa za: </w:t>
      </w:r>
    </w:p>
    <w:p w:rsidR="006E5938" w:rsidRDefault="00A279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prevádzkareň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b/>
          <w:bCs/>
          <w:sz w:val="24"/>
          <w:szCs w:val="24"/>
        </w:rPr>
        <w:t>prevádzku</w:t>
      </w:r>
      <w:r>
        <w:rPr>
          <w:rFonts w:ascii="Times New Roman" w:hAnsi="Times New Roman" w:cs="Times New Roman"/>
          <w:sz w:val="24"/>
          <w:szCs w:val="24"/>
        </w:rPr>
        <w:t xml:space="preserve"> označuje priestor v Obci, určený podnikateľom pre predaj tovaru alebo poskytovanie služieb pre konečných spotrebiteľov. 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podnikateľa </w:t>
      </w:r>
      <w:r>
        <w:rPr>
          <w:rFonts w:ascii="Times New Roman" w:hAnsi="Times New Roman" w:cs="Times New Roman"/>
          <w:sz w:val="24"/>
          <w:szCs w:val="24"/>
        </w:rPr>
        <w:t>označuje:</w:t>
      </w:r>
    </w:p>
    <w:p w:rsidR="006E5938" w:rsidRDefault="00A2796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zapísaná v obchodnom registri alebo podnikajúca na základe živnostenského oprávnenia,</w:t>
      </w:r>
    </w:p>
    <w:p w:rsidR="006E5938" w:rsidRDefault="00A2796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ktorá podnik</w:t>
      </w:r>
      <w:r>
        <w:rPr>
          <w:rFonts w:ascii="Times New Roman" w:hAnsi="Times New Roman" w:cs="Times New Roman"/>
          <w:sz w:val="24"/>
          <w:szCs w:val="24"/>
        </w:rPr>
        <w:t>á na základe iného ako živnostenského oprávnenia podľa osobitých predpisov,</w:t>
      </w:r>
    </w:p>
    <w:p w:rsidR="006E5938" w:rsidRDefault="00A2796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osoba, ktorá vykonáva poľnohospodársku výrobu a je zapísaná v  evidencii podľa osobitného predpisu, ak sa takáto evidencia vyžaduje; </w:t>
      </w:r>
    </w:p>
    <w:p w:rsidR="006E5938" w:rsidRDefault="006E593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prevádzkovateľa</w:t>
      </w:r>
      <w:r>
        <w:rPr>
          <w:rFonts w:ascii="Times New Roman" w:hAnsi="Times New Roman" w:cs="Times New Roman"/>
          <w:sz w:val="24"/>
          <w:szCs w:val="24"/>
        </w:rPr>
        <w:t xml:space="preserve"> označuje podnikateľ, </w:t>
      </w:r>
      <w:r>
        <w:rPr>
          <w:rFonts w:ascii="Times New Roman" w:hAnsi="Times New Roman" w:cs="Times New Roman"/>
          <w:sz w:val="24"/>
          <w:szCs w:val="24"/>
        </w:rPr>
        <w:t>ktorý v prevádzke vykonáva podnikateľskú činnosť predajom tovaru alebo poskytovaním služieb,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prevádzkovú dobu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b/>
          <w:bCs/>
          <w:sz w:val="24"/>
          <w:szCs w:val="24"/>
        </w:rPr>
        <w:t>prevádzkový čas</w:t>
      </w:r>
      <w:r>
        <w:rPr>
          <w:rFonts w:ascii="Times New Roman" w:hAnsi="Times New Roman" w:cs="Times New Roman"/>
          <w:sz w:val="24"/>
          <w:szCs w:val="24"/>
        </w:rPr>
        <w:t xml:space="preserve"> označuje časovo ohraničená časť dňa, počas ktorej sa vykonáva v prevádzke predaj tovaru alebo sú poskytované služby pre kon</w:t>
      </w:r>
      <w:r>
        <w:rPr>
          <w:rFonts w:ascii="Times New Roman" w:hAnsi="Times New Roman" w:cs="Times New Roman"/>
          <w:sz w:val="24"/>
          <w:szCs w:val="24"/>
        </w:rPr>
        <w:t>ečného spotrebiteľa.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nočný kľud</w:t>
      </w:r>
      <w:r>
        <w:rPr>
          <w:rFonts w:ascii="Times New Roman" w:hAnsi="Times New Roman" w:cs="Times New Roman"/>
          <w:sz w:val="24"/>
          <w:szCs w:val="24"/>
        </w:rPr>
        <w:t xml:space="preserve"> – časový úsek od 22.00 hod do 06.00 hod. nasledujúceho dňa;</w:t>
      </w:r>
    </w:p>
    <w:p w:rsidR="006E5938" w:rsidRDefault="006E5938">
      <w:pPr>
        <w:pStyle w:val="Odsekzoznamu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938" w:rsidRDefault="00A2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E5938" w:rsidRDefault="00A2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času predaja v prevádzke obchode a služieb</w:t>
      </w:r>
    </w:p>
    <w:p w:rsidR="006E5938" w:rsidRDefault="006E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Všeobecný prevádzkový čas pre prevádzky obchodu a služieb v Obci sa určuje v dňoch pondelok až nedeľa </w:t>
      </w:r>
      <w:r>
        <w:rPr>
          <w:rFonts w:ascii="Times New Roman" w:hAnsi="Times New Roman" w:cs="Times New Roman"/>
          <w:sz w:val="24"/>
          <w:szCs w:val="24"/>
        </w:rPr>
        <w:t>v časovom rozmedzí od 06.00 hod do 22.00 hod., ak nie je v tomto článku ustanovené inak.</w:t>
      </w: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Rozpätie prevádzkovej doby v prevádzke poskytujúcej reštauračné služby, pohostinské služby, službu rýchleho občerstvenia v spojení s predajom na priamu konzumáciu, sa</w:t>
      </w:r>
      <w:r>
        <w:rPr>
          <w:rFonts w:ascii="Times New Roman" w:hAnsi="Times New Roman" w:cs="Times New Roman"/>
          <w:sz w:val="24"/>
          <w:szCs w:val="24"/>
        </w:rPr>
        <w:t xml:space="preserve"> určuje pre jednotlivé kategórie prevádzkarní a podľa druhu služieb tam poskytovaných, a to nasledovne:</w:t>
      </w: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reštaurácia, pohostinstvo – pondelok až nedeľa od 10.00 hod do 22.00 hod.,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kaviareň, cukráreň –          pondelok až nedeľa od 08.00 hod do 22.00 hod.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piváreň, vináreň, bar –      pondelok až štvrtok od 10.00 hod. do 22.00 hod.,</w:t>
      </w:r>
    </w:p>
    <w:p w:rsidR="006E5938" w:rsidRDefault="00A27960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piatok až sobota od 10.00 hod. do 23.00 hod., </w:t>
      </w:r>
    </w:p>
    <w:p w:rsidR="006E5938" w:rsidRDefault="00A27960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nedeľa od 14.00 hod. do 22.00 hod.</w:t>
      </w:r>
    </w:p>
    <w:p w:rsidR="006E5938" w:rsidRDefault="00A2796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Prevádzkový čas exteriérového sedenia pred prevádzkou poskytujúcou poho</w:t>
      </w:r>
      <w:r>
        <w:rPr>
          <w:rFonts w:ascii="Times New Roman" w:hAnsi="Times New Roman" w:cs="Times New Roman"/>
          <w:sz w:val="24"/>
          <w:szCs w:val="24"/>
        </w:rPr>
        <w:t xml:space="preserve">stinské alebo reštauračné služby je totožný s prevádzkovým časom príslušnej prevádzkarne. </w:t>
      </w:r>
    </w:p>
    <w:p w:rsidR="006E5938" w:rsidRDefault="006E59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právne predpisy neustanovujú inak, prevádzková doba nie je obmedzená:</w:t>
      </w:r>
    </w:p>
    <w:p w:rsidR="006E5938" w:rsidRDefault="006E5938">
      <w:pPr>
        <w:pStyle w:val="Odsekzoznamu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uzatvorených prevádzkach pohostinských a reštauračných služieb, v ktorých sa koná označené podujatie charakteru uzavretej spoločnosti, napr. svadba, rodinná oslava, </w:t>
      </w:r>
    </w:p>
    <w:p w:rsidR="006E5938" w:rsidRDefault="00A27960">
      <w:pPr>
        <w:pStyle w:val="Odsekzoznamu"/>
        <w:numPr>
          <w:ilvl w:val="0"/>
          <w:numId w:val="9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prevádzkach poskytujúcich dočasné ubytovanie,    </w:t>
      </w:r>
    </w:p>
    <w:p w:rsidR="006E5938" w:rsidRDefault="00A27960">
      <w:pPr>
        <w:pStyle w:val="Odsekzoznamu"/>
        <w:numPr>
          <w:ilvl w:val="0"/>
          <w:numId w:val="9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dňoch 31. decembra a 1. januára. </w:t>
      </w:r>
    </w:p>
    <w:p w:rsidR="006E5938" w:rsidRDefault="00A27960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</w:t>
      </w:r>
      <w:r>
        <w:rPr>
          <w:rFonts w:ascii="Times New Roman" w:hAnsi="Times New Roman" w:cs="Times New Roman"/>
          <w:sz w:val="24"/>
          <w:szCs w:val="24"/>
        </w:rPr>
        <w:t>m nie je dotknutá povinnosť prevádzkovateľa zabezpečiť dodržiavanie nočného kľudu a pokoja v čase od 22.00 hod. do 06.00 hod. nasledujúceho dňa tak, aby sa pri využívaní prevádzkarne neprekročili najvyššie prípustné hodnoty hluku pre vonkajšie priestory ur</w:t>
      </w:r>
      <w:r>
        <w:rPr>
          <w:rFonts w:ascii="Times New Roman" w:hAnsi="Times New Roman" w:cs="Times New Roman"/>
          <w:sz w:val="24"/>
          <w:szCs w:val="24"/>
        </w:rPr>
        <w:t>čené osobitnými predpismi.</w:t>
      </w: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6E5938" w:rsidRDefault="00A2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prevádzkovateľa</w:t>
      </w:r>
    </w:p>
    <w:p w:rsidR="006E5938" w:rsidRDefault="006E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je povinný:</w:t>
      </w: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určiť prevádzkovú dobu určenú pre spotrebiteľa podľa pravidiel určených týmto Nariadením a zabezpečiť, aby táto prevádzková doba, určená v súlade s Nariadením, bola prevádzkovateľom dodržiavaná;  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ohlásiť vopred na Obecnom úrade Perín- Chym  prevá</w:t>
      </w:r>
      <w:r>
        <w:rPr>
          <w:rFonts w:ascii="Times New Roman" w:hAnsi="Times New Roman" w:cs="Times New Roman"/>
          <w:sz w:val="24"/>
          <w:szCs w:val="24"/>
        </w:rPr>
        <w:t xml:space="preserve">dzkovú dobu prevádzkarne, jej zmenu, a to najmenej 2 pracovné  dni pred začatím predaja alebo poskytovania služieb, prípadne pred takouto zmenou; takéto ohlásenie musí byť v rámci prevádzkovej doby súlade s týmto Nariadením; 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vopred ohlásiť na Obe</w:t>
      </w:r>
      <w:r>
        <w:rPr>
          <w:rFonts w:ascii="Times New Roman" w:hAnsi="Times New Roman" w:cs="Times New Roman"/>
          <w:sz w:val="24"/>
          <w:szCs w:val="24"/>
        </w:rPr>
        <w:t xml:space="preserve">cnom úrade Perín-Chym  plánované ukončenie alebo plánované pozastavenie prevádzky na čas viac ako 3 dni;  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do prevádzkarne viditeľne označiť prevádzku a jej prevádzkovú dobu, 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prevádzkarni otvorenej v súlade s Nariadením aj po 22.00 hod., </w:t>
      </w:r>
      <w:r>
        <w:rPr>
          <w:rFonts w:ascii="Times New Roman" w:hAnsi="Times New Roman" w:cs="Times New Roman"/>
          <w:sz w:val="24"/>
          <w:szCs w:val="24"/>
        </w:rPr>
        <w:t>zabezpečiť dodržiavanie nočného kľudu a pokoja v čase od 22.00 hod. do 06.00 hod. nasledujúceho dňa tak, aby pri využívaní prevádzkarne neprekročil hluk najvyššie prípustné hodnoty pre vonkajšie priestory určené osobitnými predpismi, najmä platnou Vyhláško</w:t>
      </w:r>
      <w:r>
        <w:rPr>
          <w:rFonts w:ascii="Times New Roman" w:hAnsi="Times New Roman" w:cs="Times New Roman"/>
          <w:sz w:val="24"/>
          <w:szCs w:val="24"/>
        </w:rPr>
        <w:t>u Ministerstva zdravotníctva SR, ktorou sa ustanovujú podrobnosti o prípustných hodnotách hluku, infrazvuku a vibrácií a o požiadavkách na objektivizáciu hluku, infrazvuku a vibrácií v životnom prostredí,</w:t>
      </w:r>
    </w:p>
    <w:p w:rsidR="006E5938" w:rsidRDefault="006E593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vstup kontrolného orgánu a jeho zamestnanc</w:t>
      </w:r>
      <w:r>
        <w:rPr>
          <w:rFonts w:ascii="Times New Roman" w:hAnsi="Times New Roman" w:cs="Times New Roman"/>
          <w:sz w:val="24"/>
          <w:szCs w:val="24"/>
        </w:rPr>
        <w:t>om do prevádzkarne za účelom vykonania kontroly dodržiavania prevádzkovej doby.</w:t>
      </w: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6E5938" w:rsidRDefault="00A2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Kontrolná činnosť a sankcie</w:t>
      </w:r>
    </w:p>
    <w:p w:rsidR="006E5938" w:rsidRDefault="006E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 dodržiavania tohto Nariadenie vykonáva Obec, jej starosta a poverení zamestnanci Obce, ako aj poslanci Obecného zastupiteľstva.   </w:t>
      </w:r>
    </w:p>
    <w:p w:rsidR="006E5938" w:rsidRDefault="006E59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27 b/ zákona č. 369/1990 Zb. o obecnom zriadení Obec uloží pokutu do 6.638,-Eur  za správny delikt spočívajúci v porušení Nariadenia právnickou osobou alebo fyzickou osobou oprávnenou na podnikanie.  </w:t>
      </w:r>
    </w:p>
    <w:p w:rsidR="006E5938" w:rsidRDefault="006E59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pri ukladaní pokuty prihliada na záv</w:t>
      </w:r>
      <w:r>
        <w:rPr>
          <w:rFonts w:ascii="Times New Roman" w:hAnsi="Times New Roman" w:cs="Times New Roman"/>
          <w:sz w:val="24"/>
          <w:szCs w:val="24"/>
        </w:rPr>
        <w:t xml:space="preserve">ažnosť, spôsob, trvanie a následky protiprávneho konania, na porušenie viacerých povinností a na opakované porušenie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povinnosti. Výnosy z pokút sú príjmom rozpočtu Obce. </w:t>
      </w: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6E5938" w:rsidRDefault="00A2796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E5938" w:rsidRDefault="006E593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Prevádzkovatelia prevádzkarní upravia prevádzkový čas v súlade s týmto Nariadením, ak pred účinnosťou Nariadenia mali prevádzkový čas upravený inak. V prípade vzniku otázok neupravených týmto Nariadením sa tieto riadia ustanoveniami právnymi  predpismi upr</w:t>
      </w:r>
      <w:r>
        <w:rPr>
          <w:rFonts w:ascii="Times New Roman" w:hAnsi="Times New Roman" w:cs="Times New Roman"/>
          <w:sz w:val="24"/>
          <w:szCs w:val="24"/>
        </w:rPr>
        <w:t xml:space="preserve">avujúcimi túto oblasť. </w:t>
      </w:r>
    </w:p>
    <w:p w:rsidR="006E5938" w:rsidRDefault="006E59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sa uznieslo na tomto Nariadení dňa ..............2021, uznesením č.......... </w:t>
      </w:r>
    </w:p>
    <w:p w:rsidR="006E5938" w:rsidRDefault="006E59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15. dňom od vyvesenia na úradnej tabuli Obce v zmysle § 6 ods. 8 Zákona  č. 369/1990 Zb. o </w:t>
      </w:r>
      <w:r>
        <w:rPr>
          <w:rFonts w:ascii="Times New Roman" w:hAnsi="Times New Roman" w:cs="Times New Roman"/>
          <w:sz w:val="24"/>
          <w:szCs w:val="24"/>
        </w:rPr>
        <w:t>obecnom zriadení</w:t>
      </w:r>
      <w:r>
        <w:rPr>
          <w:rFonts w:ascii="Times New Roman" w:hAnsi="Times New Roman" w:cs="Times New Roman"/>
          <w:sz w:val="24"/>
          <w:szCs w:val="24"/>
        </w:rPr>
        <w:t xml:space="preserve">/................ </w:t>
      </w:r>
      <w:r>
        <w:rPr>
          <w:rFonts w:ascii="Times New Roman" w:hAnsi="Times New Roman" w:cs="Times New Roman"/>
          <w:sz w:val="24"/>
          <w:szCs w:val="24"/>
        </w:rPr>
        <w:t xml:space="preserve">. Nariadenie sa zverejňuje  aj na webovom sídle Obce. </w:t>
      </w:r>
    </w:p>
    <w:p w:rsidR="006E5938" w:rsidRDefault="00A27960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E5938" w:rsidRDefault="00A27960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.......................................................</w:t>
      </w:r>
    </w:p>
    <w:p w:rsidR="006E5938" w:rsidRDefault="00A27960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MVDr. Ladislav Molnár, PhD. </w:t>
      </w:r>
    </w:p>
    <w:p w:rsidR="006E5938" w:rsidRDefault="00A27960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starosta Obce Perín-Chym</w:t>
      </w: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38" w:rsidRDefault="00A27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tohto Nariadenia: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Vyvesený na úradnej tabuli Obce dňa: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01.03.2021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Zverejnený na webovom sídle Obce dňa:  </w:t>
      </w:r>
      <w:r>
        <w:rPr>
          <w:rFonts w:ascii="Times New Roman" w:hAnsi="Times New Roman" w:cs="Times New Roman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začiatku lehoty na pripomienkové konanie: </w:t>
      </w:r>
      <w:r>
        <w:rPr>
          <w:rFonts w:ascii="Times New Roman" w:hAnsi="Times New Roman" w:cs="Times New Roman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ukončenia pripomienkového konania:      </w:t>
      </w:r>
      <w:r>
        <w:rPr>
          <w:rFonts w:ascii="Times New Roman" w:hAnsi="Times New Roman" w:cs="Times New Roman"/>
          <w:sz w:val="24"/>
          <w:szCs w:val="24"/>
        </w:rPr>
        <w:t xml:space="preserve">    15.03.2021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Doručené pripomienky: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pripomienok k návrhu Nariadenia uskutočnené dňa: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938" w:rsidRDefault="00A27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Schválené Nariadenie: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rokovaní Obecného zastupiteľstva  dňa:                                         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Vyhlásené vyvesením na úradnej tabuli Obce d</w:t>
      </w:r>
      <w:r>
        <w:rPr>
          <w:rFonts w:ascii="Times New Roman" w:hAnsi="Times New Roman" w:cs="Times New Roman"/>
          <w:sz w:val="24"/>
          <w:szCs w:val="24"/>
        </w:rPr>
        <w:t xml:space="preserve">ňa:                                 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na webovom sídle:                                                 </w:t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Nariadenie nadobúda účinnosť dňom: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938" w:rsidRDefault="00A27960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Nariadenie zvesené z úradnej tabule dňa: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938" w:rsidRDefault="00A27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E5938" w:rsidRDefault="006E5938">
      <w:pPr>
        <w:rPr>
          <w:rFonts w:ascii="Times New Roman" w:hAnsi="Times New Roman" w:cs="Times New Roman"/>
          <w:sz w:val="24"/>
          <w:szCs w:val="24"/>
        </w:rPr>
      </w:pPr>
    </w:p>
    <w:p w:rsidR="006E5938" w:rsidRDefault="006E593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6E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38" w:rsidRDefault="006E5938">
      <w:pPr>
        <w:rPr>
          <w:rFonts w:ascii="Times New Roman" w:hAnsi="Times New Roman" w:cs="Times New Roman"/>
          <w:sz w:val="24"/>
          <w:szCs w:val="24"/>
        </w:rPr>
      </w:pPr>
    </w:p>
    <w:sectPr w:rsidR="006E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60" w:rsidRDefault="00A27960">
      <w:pPr>
        <w:spacing w:line="240" w:lineRule="auto"/>
      </w:pPr>
      <w:r>
        <w:separator/>
      </w:r>
    </w:p>
  </w:endnote>
  <w:endnote w:type="continuationSeparator" w:id="0">
    <w:p w:rsidR="00A27960" w:rsidRDefault="00A27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60" w:rsidRDefault="00A27960">
      <w:pPr>
        <w:spacing w:after="0" w:line="240" w:lineRule="auto"/>
      </w:pPr>
      <w:r>
        <w:separator/>
      </w:r>
    </w:p>
  </w:footnote>
  <w:footnote w:type="continuationSeparator" w:id="0">
    <w:p w:rsidR="00A27960" w:rsidRDefault="00A2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left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left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left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left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left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left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left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left" w:pos="1355"/>
        </w:tabs>
        <w:ind w:left="1355" w:hanging="1584"/>
      </w:pPr>
    </w:lvl>
  </w:abstractNum>
  <w:abstractNum w:abstractNumId="1" w15:restartNumberingAfterBreak="0">
    <w:nsid w:val="06B445E6"/>
    <w:multiLevelType w:val="multilevel"/>
    <w:tmpl w:val="06B445E6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16D423F"/>
    <w:multiLevelType w:val="multilevel"/>
    <w:tmpl w:val="116D423F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8E96B0B"/>
    <w:multiLevelType w:val="multilevel"/>
    <w:tmpl w:val="18E96B0B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10D36DB"/>
    <w:multiLevelType w:val="multilevel"/>
    <w:tmpl w:val="210D36DB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4CBF"/>
    <w:multiLevelType w:val="multilevel"/>
    <w:tmpl w:val="21EE4CB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2C9"/>
    <w:multiLevelType w:val="multilevel"/>
    <w:tmpl w:val="393442C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71F"/>
    <w:multiLevelType w:val="multilevel"/>
    <w:tmpl w:val="39F2471F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CC165DB"/>
    <w:multiLevelType w:val="multilevel"/>
    <w:tmpl w:val="3CC165D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43A79"/>
    <w:multiLevelType w:val="multilevel"/>
    <w:tmpl w:val="45B43A7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042"/>
    <w:multiLevelType w:val="multilevel"/>
    <w:tmpl w:val="52AD00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0AA4"/>
    <w:multiLevelType w:val="multilevel"/>
    <w:tmpl w:val="56430AA4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76E03407"/>
    <w:multiLevelType w:val="multilevel"/>
    <w:tmpl w:val="76E0340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33DEB"/>
    <w:multiLevelType w:val="multilevel"/>
    <w:tmpl w:val="79933DEB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0+pRx15S6UL9jq606/anFZgNW6udHYyzidlcSpAcC3mW9plR58iFLOrs4ZJOQTuO4MSe+j7sdY78/+sAdCTJ8w==" w:salt="aOeWe460KIZMALUKWgWZUw=="/>
  <w:zoom w:percent="11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AD"/>
    <w:rsid w:val="00020925"/>
    <w:rsid w:val="00024C8D"/>
    <w:rsid w:val="0005221C"/>
    <w:rsid w:val="00062482"/>
    <w:rsid w:val="00067A59"/>
    <w:rsid w:val="000957A9"/>
    <w:rsid w:val="000A1FEC"/>
    <w:rsid w:val="000B7B04"/>
    <w:rsid w:val="000C6333"/>
    <w:rsid w:val="000D21B5"/>
    <w:rsid w:val="000F1CCF"/>
    <w:rsid w:val="000F7DF2"/>
    <w:rsid w:val="00110E03"/>
    <w:rsid w:val="001162FA"/>
    <w:rsid w:val="001269E8"/>
    <w:rsid w:val="00130DF5"/>
    <w:rsid w:val="0014152F"/>
    <w:rsid w:val="00145E61"/>
    <w:rsid w:val="00155BA1"/>
    <w:rsid w:val="00165B37"/>
    <w:rsid w:val="001A37E7"/>
    <w:rsid w:val="001A7ACD"/>
    <w:rsid w:val="001B691C"/>
    <w:rsid w:val="001C3039"/>
    <w:rsid w:val="001D2EEF"/>
    <w:rsid w:val="001E0999"/>
    <w:rsid w:val="001F265C"/>
    <w:rsid w:val="001F747F"/>
    <w:rsid w:val="00214D62"/>
    <w:rsid w:val="00222232"/>
    <w:rsid w:val="00247918"/>
    <w:rsid w:val="002C0CFD"/>
    <w:rsid w:val="002F33AD"/>
    <w:rsid w:val="00311BA3"/>
    <w:rsid w:val="00324E56"/>
    <w:rsid w:val="003448F6"/>
    <w:rsid w:val="0035421F"/>
    <w:rsid w:val="00382031"/>
    <w:rsid w:val="003D71CD"/>
    <w:rsid w:val="003F0CA7"/>
    <w:rsid w:val="003F6573"/>
    <w:rsid w:val="0040277B"/>
    <w:rsid w:val="00414A35"/>
    <w:rsid w:val="00433628"/>
    <w:rsid w:val="00450D9B"/>
    <w:rsid w:val="00452608"/>
    <w:rsid w:val="00453BCB"/>
    <w:rsid w:val="00471701"/>
    <w:rsid w:val="00481685"/>
    <w:rsid w:val="004824E5"/>
    <w:rsid w:val="00482F0B"/>
    <w:rsid w:val="004846E1"/>
    <w:rsid w:val="00497117"/>
    <w:rsid w:val="004A05C3"/>
    <w:rsid w:val="004A2A05"/>
    <w:rsid w:val="004C7DB4"/>
    <w:rsid w:val="004D13CC"/>
    <w:rsid w:val="004D2E4B"/>
    <w:rsid w:val="004D425D"/>
    <w:rsid w:val="004F7AA5"/>
    <w:rsid w:val="00521C9D"/>
    <w:rsid w:val="00523E46"/>
    <w:rsid w:val="0054196D"/>
    <w:rsid w:val="005500F2"/>
    <w:rsid w:val="0056034C"/>
    <w:rsid w:val="00580A79"/>
    <w:rsid w:val="0058351A"/>
    <w:rsid w:val="005A7542"/>
    <w:rsid w:val="005D555F"/>
    <w:rsid w:val="005E5639"/>
    <w:rsid w:val="005E5860"/>
    <w:rsid w:val="00600E8B"/>
    <w:rsid w:val="00606CBB"/>
    <w:rsid w:val="006153DF"/>
    <w:rsid w:val="00630049"/>
    <w:rsid w:val="00630E3A"/>
    <w:rsid w:val="0063591E"/>
    <w:rsid w:val="0064005C"/>
    <w:rsid w:val="00641214"/>
    <w:rsid w:val="00646C61"/>
    <w:rsid w:val="006519F9"/>
    <w:rsid w:val="006679C9"/>
    <w:rsid w:val="0067177F"/>
    <w:rsid w:val="0067685D"/>
    <w:rsid w:val="00684EDC"/>
    <w:rsid w:val="006850A0"/>
    <w:rsid w:val="00691253"/>
    <w:rsid w:val="006B6194"/>
    <w:rsid w:val="006E0A55"/>
    <w:rsid w:val="006E1814"/>
    <w:rsid w:val="006E5938"/>
    <w:rsid w:val="00704389"/>
    <w:rsid w:val="00744C8D"/>
    <w:rsid w:val="00747E6F"/>
    <w:rsid w:val="00753653"/>
    <w:rsid w:val="00785095"/>
    <w:rsid w:val="007A2930"/>
    <w:rsid w:val="007A651C"/>
    <w:rsid w:val="007A7C7C"/>
    <w:rsid w:val="007C4417"/>
    <w:rsid w:val="007D3E3F"/>
    <w:rsid w:val="007D3E8B"/>
    <w:rsid w:val="007E29C6"/>
    <w:rsid w:val="008151A6"/>
    <w:rsid w:val="00820417"/>
    <w:rsid w:val="00874FB1"/>
    <w:rsid w:val="00880F9B"/>
    <w:rsid w:val="00881B30"/>
    <w:rsid w:val="00894F67"/>
    <w:rsid w:val="008D3A45"/>
    <w:rsid w:val="008E5353"/>
    <w:rsid w:val="008F752F"/>
    <w:rsid w:val="00901353"/>
    <w:rsid w:val="00940019"/>
    <w:rsid w:val="00945623"/>
    <w:rsid w:val="009709EC"/>
    <w:rsid w:val="009808C3"/>
    <w:rsid w:val="00984C16"/>
    <w:rsid w:val="0099379B"/>
    <w:rsid w:val="009B3EE7"/>
    <w:rsid w:val="00A04203"/>
    <w:rsid w:val="00A20195"/>
    <w:rsid w:val="00A27960"/>
    <w:rsid w:val="00A544D9"/>
    <w:rsid w:val="00A674D2"/>
    <w:rsid w:val="00A95FDB"/>
    <w:rsid w:val="00AA4890"/>
    <w:rsid w:val="00AA6E77"/>
    <w:rsid w:val="00AD2075"/>
    <w:rsid w:val="00AE3DB7"/>
    <w:rsid w:val="00AF3338"/>
    <w:rsid w:val="00B37BB0"/>
    <w:rsid w:val="00B84282"/>
    <w:rsid w:val="00BD135C"/>
    <w:rsid w:val="00BE5A33"/>
    <w:rsid w:val="00BF56DB"/>
    <w:rsid w:val="00C00566"/>
    <w:rsid w:val="00C46E20"/>
    <w:rsid w:val="00C67A8C"/>
    <w:rsid w:val="00C92CF1"/>
    <w:rsid w:val="00C975EE"/>
    <w:rsid w:val="00CE0163"/>
    <w:rsid w:val="00D04C65"/>
    <w:rsid w:val="00D071F0"/>
    <w:rsid w:val="00D11D78"/>
    <w:rsid w:val="00D24667"/>
    <w:rsid w:val="00D67970"/>
    <w:rsid w:val="00D852FA"/>
    <w:rsid w:val="00D86668"/>
    <w:rsid w:val="00D94AD3"/>
    <w:rsid w:val="00DB2627"/>
    <w:rsid w:val="00DB7C3F"/>
    <w:rsid w:val="00DC12C2"/>
    <w:rsid w:val="00DC21D5"/>
    <w:rsid w:val="00DD3868"/>
    <w:rsid w:val="00E0590E"/>
    <w:rsid w:val="00E128F5"/>
    <w:rsid w:val="00E17AA8"/>
    <w:rsid w:val="00E26273"/>
    <w:rsid w:val="00E35E67"/>
    <w:rsid w:val="00E60123"/>
    <w:rsid w:val="00E87544"/>
    <w:rsid w:val="00EC0F5A"/>
    <w:rsid w:val="00F060AF"/>
    <w:rsid w:val="00F31FE8"/>
    <w:rsid w:val="00F4572B"/>
    <w:rsid w:val="00F51640"/>
    <w:rsid w:val="00F82A2A"/>
    <w:rsid w:val="00FA538E"/>
    <w:rsid w:val="00FA6424"/>
    <w:rsid w:val="00FC25FE"/>
    <w:rsid w:val="00FD325A"/>
    <w:rsid w:val="00FE3EB8"/>
    <w:rsid w:val="18F952CE"/>
    <w:rsid w:val="41893BE4"/>
    <w:rsid w:val="5CC06BE0"/>
    <w:rsid w:val="7C9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semiHidden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qFormat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eastAsiaTheme="minorEastAsia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rFonts w:eastAsiaTheme="minorEastAsia"/>
      <w:b/>
      <w:bCs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1201</Words>
  <Characters>6851</Characters>
  <Application>Microsoft Office Word</Application>
  <DocSecurity>4</DocSecurity>
  <Lines>57</Lines>
  <Paragraphs>16</Paragraphs>
  <ScaleCrop>false</ScaleCrop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2021-02-25T11:25:00Z</dcterms:created>
  <dcterms:modified xsi:type="dcterms:W3CDTF">2021-03-02T07:11:00Z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